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Theme="minorEastAsia"/>
          <w:b/>
          <w:sz w:val="28"/>
          <w:szCs w:val="28"/>
        </w:rPr>
      </w:pPr>
      <w:r>
        <w:rPr>
          <w:rFonts w:hint="eastAsia" w:eastAsiaTheme="minorEastAsia"/>
          <w:b/>
          <w:sz w:val="28"/>
          <w:szCs w:val="28"/>
        </w:rPr>
        <w:t>附件2：培训大纲</w:t>
      </w:r>
    </w:p>
    <w:p>
      <w:pPr>
        <w:ind w:leftChars="300"/>
        <w:jc w:val="center"/>
        <w:rPr>
          <w:rFonts w:hint="eastAsia" w:ascii="微软雅黑" w:hAnsi="微软雅黑" w:eastAsia="微软雅黑"/>
          <w:b/>
          <w:spacing w:val="8"/>
          <w:kern w:val="36"/>
          <w:sz w:val="33"/>
          <w:szCs w:val="33"/>
        </w:rPr>
      </w:pPr>
      <w:r>
        <w:rPr>
          <w:rFonts w:hint="eastAsia" w:ascii="微软雅黑" w:hAnsi="微软雅黑" w:eastAsia="微软雅黑"/>
          <w:b/>
          <w:spacing w:val="8"/>
          <w:kern w:val="36"/>
          <w:sz w:val="33"/>
          <w:szCs w:val="33"/>
        </w:rPr>
        <w:t>工程造价鉴定实务与案例解析</w:t>
      </w:r>
    </w:p>
    <w:p>
      <w:pPr>
        <w:ind w:leftChars="3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一、前言</w:t>
      </w:r>
    </w:p>
    <w:p>
      <w:pPr>
        <w:spacing w:line="380" w:lineRule="exact"/>
        <w:ind w:leftChars="300"/>
        <w:jc w:val="left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1.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《鉴定规范》出台的背景</w:t>
      </w:r>
      <w:bookmarkStart w:id="4" w:name="_GoBack"/>
      <w:bookmarkEnd w:id="4"/>
    </w:p>
    <w:p>
      <w:pPr>
        <w:spacing w:line="380" w:lineRule="exact"/>
        <w:ind w:leftChars="300"/>
        <w:jc w:val="left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2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《鉴定规范》未引用司法鉴定原因</w:t>
      </w:r>
    </w:p>
    <w:p>
      <w:pPr>
        <w:spacing w:line="380" w:lineRule="exact"/>
        <w:ind w:leftChars="300"/>
        <w:jc w:val="left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3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《鉴定规范》的作用</w:t>
      </w:r>
    </w:p>
    <w:p>
      <w:pPr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二、工程造价鉴定概述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1.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为什么要鉴定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2.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鉴定定位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3.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工程造价鉴定法律依据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4.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工程造价鉴定术语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5.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工程造价鉴定原则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6.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工程造价鉴定程序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7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当前造价鉴定中存在的不当行为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8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造价鉴定不当行为的法律后果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【案例1】仲裁案件造价鉴定人违规，提供虚假证明文件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【案例2】贪图两万贿赂，造价师鉴定价格太离谱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9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鉴定规范的特点</w:t>
      </w:r>
    </w:p>
    <w:p>
      <w:pPr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三、鉴定项目的委托、接受与终止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鉴定项目的委托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鉴定项目委托的接受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鉴定终止</w:t>
      </w:r>
    </w:p>
    <w:p>
      <w:pPr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四、基本要求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鉴定资格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鉴定要求与监督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鉴定组织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回避与承诺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5.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鉴定准备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6.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鉴定期限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7.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执业规定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8.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黑体"/>
          <w:bCs/>
          <w:sz w:val="28"/>
          <w:szCs w:val="28"/>
        </w:rPr>
        <w:t>出庭作证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9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保密</w:t>
      </w:r>
    </w:p>
    <w:p>
      <w:pPr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五、鉴定依据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1. 鉴定人自备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2. 委托人移交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3. 当事人提交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4. 证据的补充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5. 鉴定事项调查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6. 现场勘验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7.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证据的采用</w:t>
      </w:r>
    </w:p>
    <w:p>
      <w:pPr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六、鉴定实施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1. 鉴定方法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2. 鉴定步骤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3. 合同争议的鉴定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4. 证据欠缺的鉴定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5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计量争议的鉴定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6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计价争议的鉴定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7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工期索赔争议的鉴定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8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费用索赔争议的鉴定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9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工程签证争议的鉴定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10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合同解除争议的鉴定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11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鉴定意见分类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12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补充鉴定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13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重新鉴定</w:t>
      </w:r>
    </w:p>
    <w:p>
      <w:pPr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七、鉴定意见书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1. 鉴定意见书要求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2. 鉴定意见书内容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3. 鉴定意见书制作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4. 补充鉴定意见书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5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鉴定意见书的补正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6</w:t>
      </w:r>
      <w:r>
        <w:rPr>
          <w:rFonts w:ascii="楷体" w:hAnsi="楷体" w:eastAsia="楷体" w:cs="黑体"/>
          <w:bCs/>
          <w:sz w:val="28"/>
          <w:szCs w:val="28"/>
        </w:rPr>
        <w:t>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鉴定意见书送达</w:t>
      </w:r>
    </w:p>
    <w:p>
      <w:pPr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八、档案管理</w:t>
      </w:r>
    </w:p>
    <w:p>
      <w:pPr>
        <w:spacing w:line="360" w:lineRule="auto"/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九、</w:t>
      </w:r>
      <w:bookmarkStart w:id="0" w:name="OLE_LINK2"/>
      <w:bookmarkStart w:id="1" w:name="OLE_LINK1"/>
      <w:r>
        <w:rPr>
          <w:rFonts w:hint="eastAsia" w:ascii="黑体" w:hAnsi="黑体" w:eastAsia="黑体" w:cs="黑体"/>
          <w:b/>
          <w:bCs/>
          <w:sz w:val="28"/>
          <w:szCs w:val="28"/>
        </w:rPr>
        <w:t>工程造价鉴定</w:t>
      </w:r>
      <w:bookmarkEnd w:id="0"/>
      <w:bookmarkEnd w:id="1"/>
      <w:r>
        <w:rPr>
          <w:rFonts w:hint="eastAsia" w:ascii="黑体" w:hAnsi="黑体" w:eastAsia="黑体" w:cs="黑体"/>
          <w:b/>
          <w:bCs/>
          <w:sz w:val="28"/>
          <w:szCs w:val="28"/>
        </w:rPr>
        <w:t>法律十问</w:t>
      </w:r>
    </w:p>
    <w:p>
      <w:pPr>
        <w:spacing w:line="360" w:lineRule="auto"/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十、造价工程师角色转换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ascii="楷体" w:hAnsi="楷体" w:eastAsia="楷体" w:cs="黑体"/>
          <w:bCs/>
          <w:sz w:val="28"/>
          <w:szCs w:val="28"/>
        </w:rPr>
        <w:t>1.</w:t>
      </w:r>
      <w:r>
        <w:rPr>
          <w:rFonts w:hint="eastAsia" w:ascii="楷体" w:hAnsi="楷体" w:eastAsia="楷体" w:cs="黑体"/>
          <w:bCs/>
          <w:sz w:val="28"/>
          <w:szCs w:val="28"/>
        </w:rPr>
        <w:t xml:space="preserve"> 造价工程师的不同角色比较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2. 造价工程师的不同角色转换</w:t>
      </w:r>
    </w:p>
    <w:p>
      <w:pPr>
        <w:spacing w:line="360" w:lineRule="auto"/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十一、造价鉴定经验体会</w:t>
      </w:r>
    </w:p>
    <w:p>
      <w:pPr>
        <w:spacing w:line="380" w:lineRule="exact"/>
        <w:ind w:leftChars="300"/>
        <w:jc w:val="left"/>
        <w:rPr>
          <w:rFonts w:ascii="楷体" w:hAnsi="楷体" w:eastAsia="楷体" w:cs="黑体"/>
          <w:bCs/>
          <w:sz w:val="28"/>
          <w:szCs w:val="28"/>
        </w:rPr>
      </w:pPr>
      <w:bookmarkStart w:id="2" w:name="OLE_LINK4"/>
      <w:bookmarkStart w:id="3" w:name="OLE_LINK3"/>
      <w:r>
        <w:rPr>
          <w:rFonts w:hint="eastAsia" w:ascii="楷体" w:hAnsi="楷体" w:eastAsia="楷体" w:cs="黑体"/>
          <w:bCs/>
          <w:sz w:val="28"/>
          <w:szCs w:val="28"/>
        </w:rPr>
        <w:t>【案例3】</w:t>
      </w:r>
      <w:bookmarkEnd w:id="2"/>
      <w:bookmarkEnd w:id="3"/>
      <w:r>
        <w:rPr>
          <w:rFonts w:hint="eastAsia" w:ascii="楷体" w:hAnsi="楷体" w:eastAsia="楷体" w:cs="黑体"/>
          <w:bCs/>
          <w:sz w:val="28"/>
          <w:szCs w:val="28"/>
        </w:rPr>
        <w:t>《关于工程造价咨询成果文件专项检查情况的通报》</w:t>
      </w:r>
    </w:p>
    <w:p>
      <w:pPr>
        <w:spacing w:line="360" w:lineRule="auto"/>
        <w:ind w:left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十二、工程造价鉴定案例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【案例4】对鉴定意见的技术评审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【案例5】关于证据材料能否作为鉴定依据的问题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【案例6】关于未完工劳务分包工程的鉴定问题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【案例7】关于未完工程的利润补偿问题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【案例8】关于固定价格合同计价的鉴定问题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【案例9】关于无效合同工程价款结算的鉴定问题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【案例10】关于未履行变更手续结算争议的鉴定问题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【案例11】关于窝工索赔的工程造价的鉴定问题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【案例12】某住宅小区工程造价鉴定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【案例13】某市政道路建设工程造价鉴定</w:t>
      </w:r>
    </w:p>
    <w:p>
      <w:pPr>
        <w:spacing w:line="380" w:lineRule="exact"/>
        <w:ind w:leftChars="300"/>
        <w:rPr>
          <w:rFonts w:ascii="楷体" w:hAnsi="楷体" w:eastAsia="楷体" w:cs="黑体"/>
          <w:bCs/>
          <w:sz w:val="28"/>
          <w:szCs w:val="28"/>
        </w:rPr>
      </w:pPr>
      <w:r>
        <w:rPr>
          <w:rFonts w:hint="eastAsia" w:ascii="楷体" w:hAnsi="楷体" w:eastAsia="楷体" w:cs="黑体"/>
          <w:bCs/>
          <w:sz w:val="28"/>
          <w:szCs w:val="28"/>
        </w:rPr>
        <w:t>【案例14】关于工期延误责任的造价鉴定问题</w:t>
      </w:r>
    </w:p>
    <w:p>
      <w:pPr>
        <w:tabs>
          <w:tab w:val="left" w:pos="567"/>
          <w:tab w:val="left" w:pos="709"/>
        </w:tabs>
        <w:ind w:left="2182" w:leftChars="992"/>
        <w:rPr>
          <w:rFonts w:hint="default" w:ascii="微软雅黑" w:hAnsi="微软雅黑" w:eastAsia="微软雅黑" w:cs="华文仿宋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819"/>
        <w:tab w:val="right" w:pos="9638"/>
        <w:tab w:val="clear" w:pos="9020"/>
      </w:tabs>
      <w:rPr>
        <w:rFonts w:hint="eastAsia"/>
      </w:rPr>
    </w:pPr>
    <w:r>
      <w:tab/>
    </w:r>
    <w:r>
      <w:rPr>
        <w:rFonts w:hint="eastAsia" w:eastAsia="PingFang SC Regular"/>
        <w:lang w:val="zh-TW" w:eastAsia="zh-TW"/>
      </w:rPr>
      <w:t>页码：</w:t>
    </w:r>
    <w:r>
      <w:fldChar w:fldCharType="begin"/>
    </w:r>
    <w:r>
      <w:instrText xml:space="preserve"> PAGE </w:instrText>
    </w:r>
    <w:r>
      <w:fldChar w:fldCharType="separate"/>
    </w:r>
    <w:r>
      <w:rPr>
        <w:rFonts w:hint="eastAsia"/>
      </w:rPr>
      <w:t>3</w:t>
    </w:r>
    <w:r>
      <w:fldChar w:fldCharType="end"/>
    </w:r>
    <w:r>
      <w:rPr>
        <w:lang w:val="zh-TW" w:eastAsia="zh-TW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rFonts w:hint="eastAsia"/>
      </w:rPr>
      <w:t>3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54573"/>
    <w:rsid w:val="00054573"/>
    <w:rsid w:val="000630AB"/>
    <w:rsid w:val="00080A51"/>
    <w:rsid w:val="000976D8"/>
    <w:rsid w:val="000B17E3"/>
    <w:rsid w:val="00131FFA"/>
    <w:rsid w:val="00191BEA"/>
    <w:rsid w:val="001E6345"/>
    <w:rsid w:val="002213C2"/>
    <w:rsid w:val="00236289"/>
    <w:rsid w:val="002410FC"/>
    <w:rsid w:val="003014D6"/>
    <w:rsid w:val="0033536C"/>
    <w:rsid w:val="0035413E"/>
    <w:rsid w:val="0036003B"/>
    <w:rsid w:val="00362625"/>
    <w:rsid w:val="0037728A"/>
    <w:rsid w:val="00397C86"/>
    <w:rsid w:val="003A6877"/>
    <w:rsid w:val="003B033A"/>
    <w:rsid w:val="003B76C3"/>
    <w:rsid w:val="003E5C94"/>
    <w:rsid w:val="00451860"/>
    <w:rsid w:val="00475765"/>
    <w:rsid w:val="004A0FEE"/>
    <w:rsid w:val="00564E55"/>
    <w:rsid w:val="00576F32"/>
    <w:rsid w:val="005B5143"/>
    <w:rsid w:val="005C6081"/>
    <w:rsid w:val="005F0E75"/>
    <w:rsid w:val="005F156B"/>
    <w:rsid w:val="00640602"/>
    <w:rsid w:val="006919FE"/>
    <w:rsid w:val="006F3359"/>
    <w:rsid w:val="00732D48"/>
    <w:rsid w:val="007856B7"/>
    <w:rsid w:val="007860FE"/>
    <w:rsid w:val="007E0252"/>
    <w:rsid w:val="0081039F"/>
    <w:rsid w:val="00812397"/>
    <w:rsid w:val="008506BE"/>
    <w:rsid w:val="00885313"/>
    <w:rsid w:val="008A6D1E"/>
    <w:rsid w:val="008D76F7"/>
    <w:rsid w:val="00955216"/>
    <w:rsid w:val="00962DEF"/>
    <w:rsid w:val="00965FFD"/>
    <w:rsid w:val="009B4188"/>
    <w:rsid w:val="009F088B"/>
    <w:rsid w:val="00A662B4"/>
    <w:rsid w:val="00A91925"/>
    <w:rsid w:val="00B728BD"/>
    <w:rsid w:val="00B86889"/>
    <w:rsid w:val="00B938B9"/>
    <w:rsid w:val="00BA3A35"/>
    <w:rsid w:val="00BC1FEF"/>
    <w:rsid w:val="00BC6578"/>
    <w:rsid w:val="00BD6640"/>
    <w:rsid w:val="00BF6E6D"/>
    <w:rsid w:val="00C42DFD"/>
    <w:rsid w:val="00CA4CC7"/>
    <w:rsid w:val="00CF3623"/>
    <w:rsid w:val="00D33DCE"/>
    <w:rsid w:val="00D834AB"/>
    <w:rsid w:val="00DA5D5F"/>
    <w:rsid w:val="00DF7FB7"/>
    <w:rsid w:val="00E064E5"/>
    <w:rsid w:val="00E06917"/>
    <w:rsid w:val="00E469ED"/>
    <w:rsid w:val="00F01557"/>
    <w:rsid w:val="00F45DF3"/>
    <w:rsid w:val="00F65595"/>
    <w:rsid w:val="00F65E3E"/>
    <w:rsid w:val="00F75BEC"/>
    <w:rsid w:val="059837A3"/>
    <w:rsid w:val="1FA75E6E"/>
    <w:rsid w:val="22526449"/>
    <w:rsid w:val="486B2A3C"/>
    <w:rsid w:val="5BB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99"/>
    <w:rPr>
      <w:rFonts w:ascii="Arial Unicode MS" w:hAnsi="Arial Unicode MS" w:eastAsia="PingFang SC Regular" w:cs="Arial Unicode MS"/>
      <w:color w:val="000000"/>
      <w:sz w:val="18"/>
      <w:szCs w:val="18"/>
      <w:lang w:val="zh-CN"/>
    </w:rPr>
  </w:style>
  <w:style w:type="character" w:customStyle="1" w:styleId="11">
    <w:name w:val="页脚 Char"/>
    <w:basedOn w:val="6"/>
    <w:link w:val="3"/>
    <w:qFormat/>
    <w:uiPriority w:val="99"/>
    <w:rPr>
      <w:rFonts w:ascii="Arial Unicode MS" w:hAnsi="Arial Unicode MS" w:eastAsia="PingFang SC Regular" w:cs="Arial Unicode MS"/>
      <w:color w:val="000000"/>
      <w:sz w:val="18"/>
      <w:szCs w:val="18"/>
      <w:lang w:val="zh-CN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Arial Unicode MS" w:hAnsi="Arial Unicode MS" w:eastAsia="PingFang SC Regular" w:cs="Arial Unicode MS"/>
      <w:color w:val="00000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1554</Characters>
  <Lines>12</Lines>
  <Paragraphs>3</Paragraphs>
  <TotalTime>0</TotalTime>
  <ScaleCrop>false</ScaleCrop>
  <LinksUpToDate>false</LinksUpToDate>
  <CharactersWithSpaces>1823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2024-04-08T15:58:00Z</dcterms:created>
  <dc:creator>PL</dc:creator>
  <cp:lastModifiedBy>小笼包</cp:lastModifiedBy>
  <dcterms:modified xsi:type="dcterms:W3CDTF">2024-08-26T07:01:54Z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F650F6B74756437E9BB400A6468AEDA5</vt:lpwstr>
  </property>
</Properties>
</file>